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91B1" w14:textId="77777777"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18760CFE" w14:textId="4C847601"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4D2658">
        <w:rPr>
          <w:rFonts w:ascii="Times New Roman" w:hAnsi="Times New Roman" w:cs="Times New Roman"/>
        </w:rPr>
        <w:t>pro rok 202</w:t>
      </w:r>
      <w:r w:rsidR="006A5F5E">
        <w:rPr>
          <w:rFonts w:ascii="Times New Roman" w:hAnsi="Times New Roman" w:cs="Times New Roman"/>
        </w:rPr>
        <w:t>1</w:t>
      </w:r>
      <w:r w:rsidRPr="004D2658">
        <w:rPr>
          <w:rFonts w:ascii="Times New Roman" w:hAnsi="Times New Roman" w:cs="Times New Roman"/>
        </w:rPr>
        <w:t>/202</w:t>
      </w:r>
      <w:r w:rsidR="006A5F5E">
        <w:rPr>
          <w:rFonts w:ascii="Times New Roman" w:hAnsi="Times New Roman" w:cs="Times New Roman"/>
        </w:rPr>
        <w:t>2</w:t>
      </w:r>
      <w:r w:rsidRPr="004D2658">
        <w:rPr>
          <w:rFonts w:ascii="Times New Roman" w:hAnsi="Times New Roman" w:cs="Times New Roman"/>
        </w:rPr>
        <w:t xml:space="preserve"> </w:t>
      </w:r>
    </w:p>
    <w:p w14:paraId="03DD3003" w14:textId="77777777" w:rsidR="009271B1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(prezenční a kombinované studium)</w:t>
      </w:r>
    </w:p>
    <w:p w14:paraId="57879E5B" w14:textId="77777777" w:rsidR="00B61AD0" w:rsidRPr="004D2658" w:rsidRDefault="00794AD5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COMPLETUS</w:t>
      </w:r>
    </w:p>
    <w:p w14:paraId="08D2FCE7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14:paraId="213CD65A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14:paraId="35F80985" w14:textId="77777777"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5652D63B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0" w:name="_Hlk52485905"/>
      <w:r w:rsidRPr="00540CCD">
        <w:rPr>
          <w:lang w:val="de-DE"/>
        </w:rPr>
        <w:t xml:space="preserve">Einführung in die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-Didaktik </w:t>
      </w:r>
      <w:bookmarkEnd w:id="0"/>
      <w:r w:rsidRPr="00540CCD">
        <w:rPr>
          <w:lang w:val="de-DE"/>
        </w:rPr>
        <w:t xml:space="preserve">- die Hauptbegriffe des FSUs. Didaktik und Methodik des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 Unterrichts. Fremdsprachendidaktik. Ziele des FSUs. Bedeutung von Comenius für den FSU – Comenius Prinzipien</w:t>
      </w:r>
      <w:r>
        <w:rPr>
          <w:lang w:val="de-DE"/>
        </w:rPr>
        <w:t>.</w:t>
      </w:r>
    </w:p>
    <w:p w14:paraId="42F17B1D" w14:textId="65AF7A92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1" w:name="_Hlk52485885"/>
      <w:r w:rsidRPr="00540CCD">
        <w:rPr>
          <w:lang w:val="de-DE"/>
        </w:rPr>
        <w:t>Motivation</w:t>
      </w:r>
      <w:r w:rsidR="00506F8F">
        <w:rPr>
          <w:lang w:val="de-DE"/>
        </w:rPr>
        <w:t>en</w:t>
      </w:r>
      <w:r w:rsidRPr="00540CCD">
        <w:rPr>
          <w:lang w:val="de-DE"/>
        </w:rPr>
        <w:t xml:space="preserve"> zum Fremdsprachenlernen. </w:t>
      </w:r>
      <w:bookmarkEnd w:id="1"/>
      <w:r w:rsidRPr="00540CCD">
        <w:rPr>
          <w:lang w:val="de-DE"/>
        </w:rPr>
        <w:t>Motive und Motivtypen im</w:t>
      </w:r>
      <w:r>
        <w:rPr>
          <w:lang w:val="de-DE"/>
        </w:rPr>
        <w:t xml:space="preserve"> </w:t>
      </w:r>
      <w:r w:rsidRPr="00540CCD">
        <w:rPr>
          <w:lang w:val="de-DE"/>
        </w:rPr>
        <w:t xml:space="preserve">Fremdsprachenunterricht. Eigentliche Lernmotivation.  </w:t>
      </w:r>
    </w:p>
    <w:p w14:paraId="450CCDAB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2" w:name="_Hlk52485865"/>
      <w:r w:rsidRPr="00EB12DD">
        <w:rPr>
          <w:lang w:val="de-DE"/>
        </w:rPr>
        <w:t xml:space="preserve">Bild, Bildtypen. Funktionen der Bilder im FSU. Methoden der Arbeit mit Bildern im FSU. Kriterien zur Auswahl von Bildern. </w:t>
      </w:r>
      <w:bookmarkEnd w:id="2"/>
    </w:p>
    <w:p w14:paraId="173AF390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3" w:name="_Hlk52485843"/>
      <w:r w:rsidRPr="00540CCD">
        <w:rPr>
          <w:lang w:val="de-DE"/>
        </w:rPr>
        <w:t xml:space="preserve">Unterrichtsplanung </w:t>
      </w:r>
      <w:bookmarkEnd w:id="3"/>
      <w:r w:rsidRPr="00540CCD">
        <w:rPr>
          <w:lang w:val="de-DE"/>
        </w:rPr>
        <w:t xml:space="preserve">und -stunde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-Unterricht: Vorbereitung, Gliederung und</w:t>
      </w:r>
    </w:p>
    <w:p w14:paraId="4B9E9801" w14:textId="77777777" w:rsidR="007B5F0B" w:rsidRPr="00DF099A" w:rsidRDefault="007B5F0B" w:rsidP="007B5F0B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540CCD">
        <w:rPr>
          <w:lang w:val="de-DE"/>
        </w:rPr>
        <w:t>Gestaltungsmöglichkeiten. Sozialformen im FSU.</w:t>
      </w:r>
    </w:p>
    <w:p w14:paraId="1E3A3D26" w14:textId="77777777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Landeskunde </w:t>
      </w:r>
      <w:r w:rsidRPr="00540CCD">
        <w:rPr>
          <w:lang w:val="de-DE"/>
        </w:rPr>
        <w:t>und interkulturelle Landeskunde im FSU. Landeskundliche Ansätze. Landeskundliche Bilder im FSU</w:t>
      </w:r>
      <w:r>
        <w:rPr>
          <w:lang w:val="de-DE"/>
        </w:rPr>
        <w:t>.</w:t>
      </w:r>
    </w:p>
    <w:p w14:paraId="3B48AC07" w14:textId="05C1A201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Die Lehrerpersönlichkeit im FSU. Rolle des Lehrers im heutigen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-Unterricht.  Lerntypen. Unterrichtsstörungen. Interaktion Lehrer-Schüler. </w:t>
      </w:r>
    </w:p>
    <w:p w14:paraId="1139A7EA" w14:textId="3D5C09DB" w:rsidR="009C09D9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4" w:name="_Hlk52485780"/>
      <w:r w:rsidRPr="007B5F0B">
        <w:rPr>
          <w:lang w:val="de-DE"/>
        </w:rPr>
        <w:t xml:space="preserve">Projektunterricht. </w:t>
      </w:r>
      <w:bookmarkEnd w:id="4"/>
      <w:r w:rsidRPr="007B5F0B">
        <w:rPr>
          <w:lang w:val="de-DE"/>
        </w:rPr>
        <w:t>Merkmale des Projektunterrichts. Herkunft und Ziele des Projektunterrichts. Phasen des Projektunterrichts. Evaluation.</w:t>
      </w:r>
    </w:p>
    <w:p w14:paraId="0EF2E53D" w14:textId="1D28D7B1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7B5F0B">
        <w:rPr>
          <w:lang w:val="de-DE"/>
        </w:rPr>
        <w:t>Projektunterricht</w:t>
      </w:r>
      <w:r>
        <w:rPr>
          <w:lang w:val="de-DE"/>
        </w:rPr>
        <w:t xml:space="preserve">. </w:t>
      </w:r>
      <w:r w:rsidRPr="007B5F0B">
        <w:rPr>
          <w:lang w:val="de-DE"/>
        </w:rPr>
        <w:t>Die veränderte Lehrer- und Schülerrolle im Projektunterricht. Ablauf eines Projektes. Internationale Projekte für Fremdsprachenunterricht.</w:t>
      </w:r>
    </w:p>
    <w:p w14:paraId="54D4F6DF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5" w:name="_Hlk52485744"/>
      <w:r w:rsidRPr="00540CCD">
        <w:rPr>
          <w:lang w:val="de-DE"/>
        </w:rPr>
        <w:t xml:space="preserve">Curriculare Dokumente - Der Gemeinsame Referenzrahmen für Sprachen, sprachliche Deskriptoren. Das Europäische Sprachenportfolio.   </w:t>
      </w:r>
      <w:bookmarkEnd w:id="5"/>
    </w:p>
    <w:p w14:paraId="090F9F1C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color w:val="000000"/>
          <w:lang w:val="de-DE"/>
        </w:rPr>
      </w:pPr>
      <w:r w:rsidRPr="00540CCD">
        <w:rPr>
          <w:color w:val="000000"/>
          <w:lang w:val="de-DE"/>
        </w:rPr>
        <w:t xml:space="preserve">Lieder und Spiele im </w:t>
      </w:r>
      <w:proofErr w:type="spellStart"/>
      <w:r w:rsidRPr="00540CCD">
        <w:rPr>
          <w:color w:val="000000"/>
          <w:lang w:val="de-DE"/>
        </w:rPr>
        <w:t>DaF</w:t>
      </w:r>
      <w:proofErr w:type="spellEnd"/>
      <w:r w:rsidRPr="00540CCD">
        <w:rPr>
          <w:color w:val="000000"/>
          <w:lang w:val="de-DE"/>
        </w:rPr>
        <w:t>-Unterricht. Klassifizierung und Definition der Sprachlehrspiele. Einsatz der Sozialformen und Medien bei Sprachlehrspielen. Quellen für Sprachlehrspiele.</w:t>
      </w:r>
    </w:p>
    <w:p w14:paraId="37579D56" w14:textId="77777777" w:rsidR="007B5F0B" w:rsidRPr="00EB12D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540CCD">
        <w:rPr>
          <w:lang w:val="de-DE"/>
        </w:rPr>
        <w:t xml:space="preserve">Sprachliche Fertigkeiten. Wortschatz, Wortschatzvermittlung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</w:t>
      </w:r>
      <w:r>
        <w:rPr>
          <w:lang w:val="de-DE"/>
        </w:rPr>
        <w:t>.</w:t>
      </w:r>
    </w:p>
    <w:p w14:paraId="373BAD81" w14:textId="77777777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Methoden des Fremdsprachenunterrichts. Entwicklung der Unterrichtsmethoden </w:t>
      </w:r>
    </w:p>
    <w:p w14:paraId="077C0FB9" w14:textId="77777777" w:rsidR="007B5F0B" w:rsidRPr="00540CCD" w:rsidRDefault="007B5F0B" w:rsidP="007B5F0B">
      <w:pPr>
        <w:pStyle w:val="Odstavecseseznamem"/>
        <w:spacing w:line="360" w:lineRule="auto"/>
        <w:rPr>
          <w:lang w:val="de-DE"/>
        </w:rPr>
      </w:pPr>
      <w:r w:rsidRPr="00540CCD">
        <w:rPr>
          <w:lang w:val="de-DE"/>
        </w:rPr>
        <w:t>vom 19. Jahrhundert bis zur Gegenwart.</w:t>
      </w:r>
    </w:p>
    <w:p w14:paraId="196A0923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6" w:name="_Hlk52485610"/>
      <w:r w:rsidRPr="00540CCD">
        <w:rPr>
          <w:lang w:val="de-DE"/>
        </w:rPr>
        <w:t>Medien im FSU</w:t>
      </w:r>
      <w:bookmarkEnd w:id="6"/>
      <w:r w:rsidRPr="00540CCD">
        <w:rPr>
          <w:lang w:val="de-DE"/>
        </w:rPr>
        <w:t>, Einsatz der Medien bei einzelnen Methoden des FSUs. Verlage, Fachpresse, Web-Seiten und Unterrichtsmaterialien orientiert auf FSU.</w:t>
      </w:r>
    </w:p>
    <w:p w14:paraId="13ED3DA3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7" w:name="_Hlk52485558"/>
      <w:r w:rsidRPr="00EB12DD">
        <w:rPr>
          <w:lang w:val="de-DE"/>
        </w:rPr>
        <w:t xml:space="preserve">Grammatik im FSU. Bewerten und Prüfen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7"/>
      <w:r w:rsidRPr="00EB12DD">
        <w:rPr>
          <w:lang w:val="de-DE"/>
        </w:rPr>
        <w:tab/>
      </w:r>
      <w:r w:rsidRPr="00540CCD">
        <w:rPr>
          <w:lang w:val="de-DE"/>
        </w:rPr>
        <w:tab/>
      </w:r>
      <w:r w:rsidRPr="00540CCD">
        <w:rPr>
          <w:lang w:val="de-DE"/>
        </w:rPr>
        <w:tab/>
        <w:t xml:space="preserve"> </w:t>
      </w:r>
    </w:p>
    <w:p w14:paraId="0F62595B" w14:textId="4B0AA1F1" w:rsidR="007B5F0B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EB12DD">
        <w:rPr>
          <w:bCs/>
          <w:lang w:val="de-DE"/>
        </w:rPr>
        <w:lastRenderedPageBreak/>
        <w:t xml:space="preserve">Authentische </w:t>
      </w:r>
      <w:r w:rsidRPr="00540CCD">
        <w:rPr>
          <w:bCs/>
          <w:lang w:val="de-DE"/>
        </w:rPr>
        <w:t xml:space="preserve">Texte im </w:t>
      </w:r>
      <w:proofErr w:type="spellStart"/>
      <w:r w:rsidRPr="00540CCD">
        <w:rPr>
          <w:bCs/>
          <w:lang w:val="de-DE"/>
        </w:rPr>
        <w:t>DaF</w:t>
      </w:r>
      <w:proofErr w:type="spellEnd"/>
      <w:r w:rsidRPr="00540CCD">
        <w:rPr>
          <w:bCs/>
          <w:lang w:val="de-DE"/>
        </w:rPr>
        <w:t xml:space="preserve"> Unterricht.  Kriterien zur Auswahl eines authentischen Textes. </w:t>
      </w:r>
      <w:proofErr w:type="spellStart"/>
      <w:r w:rsidRPr="00540CCD">
        <w:rPr>
          <w:bCs/>
          <w:lang w:val="de-DE"/>
        </w:rPr>
        <w:t>Didaktisierung</w:t>
      </w:r>
      <w:proofErr w:type="spellEnd"/>
      <w:r w:rsidRPr="00540CCD">
        <w:rPr>
          <w:bCs/>
          <w:lang w:val="de-DE"/>
        </w:rPr>
        <w:t xml:space="preserve"> der authentischen Texte für </w:t>
      </w:r>
      <w:proofErr w:type="spellStart"/>
      <w:r w:rsidRPr="00540CCD">
        <w:rPr>
          <w:bCs/>
          <w:lang w:val="de-DE"/>
        </w:rPr>
        <w:t>DaF</w:t>
      </w:r>
      <w:proofErr w:type="spellEnd"/>
      <w:r w:rsidRPr="00540CCD">
        <w:rPr>
          <w:bCs/>
          <w:lang w:val="de-DE"/>
        </w:rPr>
        <w:t xml:space="preserve"> Unterricht. Lesestile. Strategien/Methoden zur Texterschließung.</w:t>
      </w:r>
    </w:p>
    <w:p w14:paraId="71F388FE" w14:textId="0B6DE747" w:rsidR="007B5F0B" w:rsidRPr="00540CCD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Lehrwerke und </w:t>
      </w:r>
      <w:r w:rsidRPr="002C0F7F">
        <w:rPr>
          <w:lang w:val="de-DE"/>
        </w:rPr>
        <w:t>Lehrwerkanalyse</w:t>
      </w:r>
      <w:r w:rsidRPr="002C0F7F">
        <w:rPr>
          <w:color w:val="800000"/>
          <w:lang w:val="de-DE"/>
        </w:rPr>
        <w:t xml:space="preserve"> </w:t>
      </w:r>
      <w:r w:rsidRPr="002C0F7F">
        <w:rPr>
          <w:color w:val="000000"/>
          <w:lang w:val="de-DE"/>
        </w:rPr>
        <w:t xml:space="preserve">im </w:t>
      </w:r>
      <w:proofErr w:type="spellStart"/>
      <w:r w:rsidRPr="002C0F7F">
        <w:rPr>
          <w:color w:val="000000"/>
          <w:lang w:val="de-DE"/>
        </w:rPr>
        <w:t>DaF</w:t>
      </w:r>
      <w:proofErr w:type="spellEnd"/>
      <w:r w:rsidRPr="002C0F7F">
        <w:rPr>
          <w:color w:val="000000"/>
          <w:lang w:val="de-DE"/>
        </w:rPr>
        <w:t xml:space="preserve">-Unterricht, Lehrwerke für die 1. und 2. Stufe </w:t>
      </w:r>
      <w:r w:rsidRPr="002C0F7F">
        <w:rPr>
          <w:color w:val="000000"/>
          <w:lang w:val="de-DE"/>
        </w:rPr>
        <w:br/>
        <w:t>der Grundschule. Stockholmer Kriterienkatalog.</w:t>
      </w:r>
      <w:r w:rsidRPr="002C0F7F">
        <w:rPr>
          <w:lang w:val="de-DE"/>
        </w:rPr>
        <w:t xml:space="preserve"> Verlage, Fachpresse, Web-Seiten und</w:t>
      </w:r>
      <w:r w:rsidRPr="002C0F7F">
        <w:rPr>
          <w:lang w:val="de-DE"/>
        </w:rPr>
        <w:br/>
        <w:t>Unterrichtsmaterialien orientiert auf FSU.</w:t>
      </w:r>
    </w:p>
    <w:p w14:paraId="07877073" w14:textId="77777777" w:rsidR="007B5F0B" w:rsidRPr="007B5F0B" w:rsidRDefault="007B5F0B" w:rsidP="007B5F0B">
      <w:pPr>
        <w:rPr>
          <w:lang w:val="de-DE"/>
        </w:rPr>
      </w:pPr>
    </w:p>
    <w:p w14:paraId="6BEB6571" w14:textId="77777777"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09F8B0C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43A633E2" w14:textId="77777777"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5A214DDA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Verben </w:t>
      </w:r>
      <w:r w:rsidRPr="004D2658">
        <w:rPr>
          <w:strike/>
          <w:lang w:val="de-DE"/>
        </w:rPr>
        <w:t xml:space="preserve"> </w:t>
      </w:r>
    </w:p>
    <w:p w14:paraId="4AB47B7D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Substantive</w:t>
      </w:r>
    </w:p>
    <w:p w14:paraId="08F23558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Adjektive, Adverbien, Numeralia,</w:t>
      </w:r>
    </w:p>
    <w:p w14:paraId="4EF516A8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der einfache Satz, Parataxe</w:t>
      </w:r>
    </w:p>
    <w:p w14:paraId="2B7312E2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die Hypotaxe</w:t>
      </w:r>
    </w:p>
    <w:p w14:paraId="78A8387F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Semantisch-lexikalische Beziehungen (Synonymie, </w:t>
      </w:r>
      <w:proofErr w:type="spellStart"/>
      <w:r w:rsidRPr="004D2658">
        <w:rPr>
          <w:lang w:val="de-DE"/>
        </w:rPr>
        <w:t>Antonymie</w:t>
      </w:r>
      <w:proofErr w:type="spellEnd"/>
      <w:r w:rsidRPr="004D2658">
        <w:rPr>
          <w:lang w:val="de-DE"/>
        </w:rPr>
        <w:t>, Polysemie, Homonymie, Wortfamilien und Wortfelder)</w:t>
      </w:r>
    </w:p>
    <w:p w14:paraId="688C5C84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Wortbildung</w:t>
      </w:r>
    </w:p>
    <w:p w14:paraId="6BC621DF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Sprachliche Interferenz – Fehlerklassifikation, </w:t>
      </w:r>
      <w:proofErr w:type="spellStart"/>
      <w:r w:rsidRPr="004D2658">
        <w:rPr>
          <w:lang w:val="de-DE"/>
        </w:rPr>
        <w:t>Interimsprache</w:t>
      </w:r>
      <w:proofErr w:type="spellEnd"/>
      <w:r w:rsidRPr="004D2658">
        <w:rPr>
          <w:lang w:val="de-DE"/>
        </w:rPr>
        <w:t xml:space="preserve">, </w:t>
      </w:r>
      <w:proofErr w:type="spellStart"/>
      <w:r w:rsidRPr="004D2658">
        <w:rPr>
          <w:lang w:val="de-DE"/>
        </w:rPr>
        <w:t>Codeswitching</w:t>
      </w:r>
      <w:proofErr w:type="spellEnd"/>
    </w:p>
    <w:p w14:paraId="2B0E53C3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Sprachliche Interferenz – Transfer, </w:t>
      </w:r>
      <w:proofErr w:type="spellStart"/>
      <w:r w:rsidRPr="004D2658">
        <w:rPr>
          <w:lang w:val="de-DE"/>
        </w:rPr>
        <w:t>intralinguale</w:t>
      </w:r>
      <w:proofErr w:type="spellEnd"/>
      <w:r w:rsidRPr="004D2658">
        <w:rPr>
          <w:lang w:val="de-DE"/>
        </w:rPr>
        <w:t xml:space="preserve"> Interferenz, interlinguale Interferenz, </w:t>
      </w:r>
      <w:proofErr w:type="spellStart"/>
      <w:r w:rsidRPr="004D2658">
        <w:rPr>
          <w:lang w:val="de-DE"/>
        </w:rPr>
        <w:t>faux</w:t>
      </w:r>
      <w:proofErr w:type="spellEnd"/>
      <w:r w:rsidRPr="004D2658">
        <w:rPr>
          <w:lang w:val="de-DE"/>
        </w:rPr>
        <w:t xml:space="preserve"> </w:t>
      </w:r>
      <w:proofErr w:type="spellStart"/>
      <w:r w:rsidRPr="004D2658">
        <w:rPr>
          <w:lang w:val="de-DE"/>
        </w:rPr>
        <w:t>amis</w:t>
      </w:r>
      <w:proofErr w:type="spellEnd"/>
    </w:p>
    <w:p w14:paraId="5FB01B1B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lang w:val="de-DE"/>
        </w:rPr>
        <w:t xml:space="preserve">Textlinguistik – </w:t>
      </w:r>
      <w:r w:rsidRPr="004D2658">
        <w:rPr>
          <w:color w:val="000000"/>
          <w:lang w:val="de-DE"/>
        </w:rPr>
        <w:t>Kohäsion und Kohärenz (Kohäsionsmittel, Thema-Rhema-Gliederung)</w:t>
      </w:r>
    </w:p>
    <w:p w14:paraId="020CCEA7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Typen, Sememe</w:t>
      </w:r>
    </w:p>
    <w:p w14:paraId="4060891A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Eigenschaften des Phraseologismus</w:t>
      </w:r>
    </w:p>
    <w:p w14:paraId="52787945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Ein Terminus </w:t>
      </w:r>
      <w:proofErr w:type="gramStart"/>
      <w:r w:rsidRPr="004D2658">
        <w:rPr>
          <w:lang w:val="de-DE"/>
        </w:rPr>
        <w:t>versus ein Nicht-Terminus</w:t>
      </w:r>
      <w:proofErr w:type="gramEnd"/>
    </w:p>
    <w:p w14:paraId="72D14034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Geisteswissenschaftlicher und technischer Terminus</w:t>
      </w:r>
    </w:p>
    <w:p w14:paraId="6098F98F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Ein Terminus und seine Eigenschaften im Detail</w:t>
      </w:r>
    </w:p>
    <w:p w14:paraId="67AAC7BA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Fachterminus und die Wortbildung</w:t>
      </w:r>
    </w:p>
    <w:p w14:paraId="1DBD102D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proofErr w:type="spellStart"/>
      <w:r w:rsidRPr="004D2658">
        <w:rPr>
          <w:lang w:val="de-DE"/>
        </w:rPr>
        <w:t>Terminologisierung</w:t>
      </w:r>
      <w:proofErr w:type="spellEnd"/>
      <w:r w:rsidRPr="004D2658">
        <w:rPr>
          <w:lang w:val="de-DE"/>
        </w:rPr>
        <w:t>, Metapher und Metonymie</w:t>
      </w:r>
    </w:p>
    <w:p w14:paraId="79224D82" w14:textId="77777777" w:rsidR="00277D7F" w:rsidRPr="004D2658" w:rsidRDefault="00277D7F" w:rsidP="00277D7F">
      <w:pPr>
        <w:pStyle w:val="Odstavecseseznamem"/>
        <w:spacing w:line="360" w:lineRule="auto"/>
        <w:ind w:left="714"/>
        <w:jc w:val="both"/>
        <w:rPr>
          <w:lang w:val="de-DE"/>
        </w:rPr>
      </w:pPr>
    </w:p>
    <w:p w14:paraId="34047927" w14:textId="77777777" w:rsidR="00277D7F" w:rsidRPr="004D2658" w:rsidRDefault="00277D7F" w:rsidP="00277D7F">
      <w:pPr>
        <w:spacing w:line="360" w:lineRule="auto"/>
        <w:jc w:val="both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Koncepce širokých 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</w:t>
      </w:r>
      <w:r w:rsidRPr="004D2658">
        <w:rPr>
          <w:rFonts w:ascii="Times New Roman" w:hAnsi="Times New Roman" w:cs="Times New Roman"/>
        </w:rPr>
        <w:lastRenderedPageBreak/>
        <w:t xml:space="preserve">student prokázat, že se orientuje v jazykovědné problematice na takové úrovni, aby byl schopen syntetizovat své znalosti a fundovaně odpovídat na (doplňující) otázky zkušební komise. </w:t>
      </w:r>
    </w:p>
    <w:p w14:paraId="2AA889A3" w14:textId="124E439F" w:rsidR="00277D7F" w:rsidRDefault="00277D7F" w:rsidP="004D2658">
      <w:pPr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5F84E069" w14:textId="77777777" w:rsidR="007B5F0B" w:rsidRPr="004D2658" w:rsidRDefault="007B5F0B" w:rsidP="004D2658">
      <w:pPr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1EB4FC19" w14:textId="77777777" w:rsidR="00310E8C" w:rsidRPr="004D2658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14:paraId="2038024E" w14:textId="77777777"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1FBD3F28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Anfänge der deutschen Literatur</w:t>
      </w:r>
    </w:p>
    <w:p w14:paraId="3A2CACAF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Literatur des Mittelalters</w:t>
      </w:r>
    </w:p>
    <w:p w14:paraId="5EE99688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color w:val="000000"/>
          <w:lang w:val="de-DE"/>
        </w:rPr>
        <w:t>Renaissance, Humanismus und Reformation</w:t>
      </w:r>
    </w:p>
    <w:p w14:paraId="4240BAE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Barock</w:t>
      </w:r>
    </w:p>
    <w:p w14:paraId="484EB4B7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Aufklärung, Sturm und Drang</w:t>
      </w:r>
    </w:p>
    <w:p w14:paraId="0E779BF0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Klassik, Romantik</w:t>
      </w:r>
    </w:p>
    <w:p w14:paraId="1DA5F64B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Biedermeier, Poetischer Realismus</w:t>
      </w:r>
    </w:p>
    <w:p w14:paraId="02E66641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Naturalismus, Literatur der Jahrhundertwende</w:t>
      </w:r>
    </w:p>
    <w:p w14:paraId="5BED784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Expressionismus, Literatur der zwanziger Jahre</w:t>
      </w:r>
    </w:p>
    <w:p w14:paraId="402BD2CC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Deutsche Literatur im Exil</w:t>
      </w:r>
    </w:p>
    <w:p w14:paraId="6C42C3E2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der Bundesrepublik Deutschland nach 1945</w:t>
      </w:r>
    </w:p>
    <w:p w14:paraId="5861A4E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Österreichs</w:t>
      </w:r>
    </w:p>
    <w:p w14:paraId="34FFBF55" w14:textId="77777777"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 xml:space="preserve">Kinder- und Jugendliteratur </w:t>
      </w:r>
      <w:r w:rsidR="001932DC" w:rsidRPr="004D2658">
        <w:rPr>
          <w:color w:val="000000"/>
          <w:lang w:val="de-DE"/>
        </w:rPr>
        <w:t xml:space="preserve">- </w:t>
      </w:r>
      <w:r w:rsidRPr="004D2658">
        <w:rPr>
          <w:color w:val="000000"/>
          <w:lang w:val="de-DE"/>
        </w:rPr>
        <w:t>Entstehung, Mädchenliteratur, Märchen, Sage, Bilderbuch</w:t>
      </w:r>
    </w:p>
    <w:p w14:paraId="525BE70F" w14:textId="77777777"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bCs/>
          <w:color w:val="000000"/>
          <w:lang w:val="de-DE"/>
        </w:rPr>
        <w:t xml:space="preserve">Abenteuerbuch, Detektiv- und Kriminalgeschichten </w:t>
      </w:r>
    </w:p>
    <w:p w14:paraId="2ABC19B8" w14:textId="77777777" w:rsidR="00B61AD0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 xml:space="preserve">Tierbuch + </w:t>
      </w:r>
      <w:proofErr w:type="gramStart"/>
      <w:r w:rsidRPr="004D2658">
        <w:rPr>
          <w:color w:val="000000"/>
          <w:lang w:val="de-DE"/>
        </w:rPr>
        <w:t>Science Fiction</w:t>
      </w:r>
      <w:proofErr w:type="gramEnd"/>
      <w:r w:rsidRPr="004D2658">
        <w:rPr>
          <w:color w:val="000000"/>
          <w:lang w:val="de-DE"/>
        </w:rPr>
        <w:t xml:space="preserve"> + phantastische</w:t>
      </w:r>
      <w:r w:rsidRPr="004D2658">
        <w:rPr>
          <w:bCs/>
          <w:color w:val="000000"/>
          <w:lang w:val="de-DE"/>
        </w:rPr>
        <w:t xml:space="preserve"> Kinder- und Jugendliteratur)</w:t>
      </w:r>
    </w:p>
    <w:p w14:paraId="0D337792" w14:textId="77777777" w:rsidR="009C09D9" w:rsidRPr="004D2658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0A7ED9B5" w14:textId="77777777" w:rsidR="001932DC" w:rsidRPr="004D2658" w:rsidRDefault="001932DC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3F72BB09" w14:textId="77777777"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4D2658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2F7E30A5" w14:textId="77777777"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171D04C2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4F4C3FA5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3B328D7C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1D6AA125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1EB4CCC7" w14:textId="77777777" w:rsidR="00B61AD0" w:rsidRPr="004D2658" w:rsidRDefault="00B61AD0" w:rsidP="00B61AD0">
      <w:pPr>
        <w:rPr>
          <w:rFonts w:ascii="Times New Roman" w:hAnsi="Times New Roman" w:cs="Times New Roman"/>
          <w:lang w:val="de-DE"/>
        </w:rPr>
      </w:pPr>
    </w:p>
    <w:p w14:paraId="1920BAF3" w14:textId="77777777" w:rsidR="00B61AD0" w:rsidRPr="004D2658" w:rsidRDefault="00B61AD0" w:rsidP="00B61AD0">
      <w:pPr>
        <w:rPr>
          <w:rFonts w:ascii="Times New Roman" w:hAnsi="Times New Roman" w:cs="Times New Roman"/>
          <w:lang w:val="de-DE"/>
        </w:rPr>
      </w:pPr>
    </w:p>
    <w:sectPr w:rsidR="00B61AD0" w:rsidRPr="004D2658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171"/>
    <w:multiLevelType w:val="hybridMultilevel"/>
    <w:tmpl w:val="A7669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0"/>
    <w:rsid w:val="001932DC"/>
    <w:rsid w:val="00277D7F"/>
    <w:rsid w:val="00310E8C"/>
    <w:rsid w:val="003D5975"/>
    <w:rsid w:val="004D2658"/>
    <w:rsid w:val="00506F8F"/>
    <w:rsid w:val="00595385"/>
    <w:rsid w:val="006A5F5E"/>
    <w:rsid w:val="00794AD5"/>
    <w:rsid w:val="007B5F0B"/>
    <w:rsid w:val="007D644E"/>
    <w:rsid w:val="009C09D9"/>
    <w:rsid w:val="00B13933"/>
    <w:rsid w:val="00B61AD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7FCCF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4</cp:revision>
  <dcterms:created xsi:type="dcterms:W3CDTF">2021-09-28T10:50:00Z</dcterms:created>
  <dcterms:modified xsi:type="dcterms:W3CDTF">2021-09-28T12:04:00Z</dcterms:modified>
</cp:coreProperties>
</file>